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DE" w:rsidRDefault="00F45BDE" w:rsidP="00F4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36"/>
          <w:szCs w:val="36"/>
        </w:rPr>
        <w:t>Circulaire 5872</w:t>
      </w:r>
      <w:r>
        <w:rPr>
          <w:rFonts w:asciiTheme="majorHAnsi" w:hAnsiTheme="majorHAnsi" w:cstheme="minorHAnsi"/>
          <w:b/>
          <w:sz w:val="36"/>
          <w:szCs w:val="36"/>
        </w:rPr>
        <w:tab/>
        <w:t>13/09/2016</w:t>
      </w:r>
    </w:p>
    <w:p w:rsidR="00F45BDE" w:rsidRDefault="00F45BDE" w:rsidP="00CE7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inorHAnsi"/>
          <w:b/>
          <w:sz w:val="36"/>
          <w:szCs w:val="36"/>
        </w:rPr>
      </w:pPr>
    </w:p>
    <w:p w:rsidR="00D31A0E" w:rsidRDefault="001261A7" w:rsidP="00CE7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inorHAnsi"/>
          <w:b/>
          <w:sz w:val="36"/>
          <w:szCs w:val="36"/>
        </w:rPr>
      </w:pPr>
      <w:r w:rsidRPr="00AC3F89">
        <w:rPr>
          <w:rFonts w:asciiTheme="majorHAnsi" w:hAnsiTheme="majorHAnsi" w:cstheme="minorHAnsi"/>
          <w:b/>
          <w:noProof/>
          <w:sz w:val="36"/>
          <w:szCs w:val="36"/>
          <w:lang w:val="fr-FR" w:eastAsia="fr-FR"/>
        </w:rPr>
        <w:drawing>
          <wp:inline distT="0" distB="0" distL="0" distR="0" wp14:anchorId="79AB9FCD" wp14:editId="481E742F">
            <wp:extent cx="4114800" cy="962025"/>
            <wp:effectExtent l="0" t="0" r="0" b="9525"/>
            <wp:docPr id="1" name="Image 1" descr="C:\Users\Quoidb01.CFWB00\Desktop\#TEM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uoidb01.CFWB00\Desktop\#TEMP\hea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C1" w:rsidRPr="00D6482C" w:rsidRDefault="00192366" w:rsidP="00CE7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inorHAnsi"/>
          <w:b/>
          <w:sz w:val="36"/>
          <w:szCs w:val="36"/>
        </w:rPr>
      </w:pPr>
      <w:r w:rsidRPr="00D6482C">
        <w:rPr>
          <w:rFonts w:asciiTheme="majorHAnsi" w:hAnsiTheme="majorHAnsi" w:cstheme="minorHAnsi"/>
          <w:b/>
          <w:sz w:val="36"/>
          <w:szCs w:val="36"/>
        </w:rPr>
        <w:t>Opérationnalisation de la réforme des titres et fonctions</w:t>
      </w:r>
      <w:r w:rsidR="00604C7A" w:rsidRPr="00D6482C">
        <w:rPr>
          <w:rFonts w:asciiTheme="majorHAnsi" w:hAnsiTheme="majorHAnsi" w:cstheme="minorHAnsi"/>
          <w:b/>
          <w:sz w:val="36"/>
          <w:szCs w:val="36"/>
        </w:rPr>
        <w:t xml:space="preserve"> </w:t>
      </w:r>
    </w:p>
    <w:p w:rsidR="00CE7121" w:rsidRPr="00D6482C" w:rsidRDefault="00CE7121" w:rsidP="00CE7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inorHAnsi"/>
          <w:b/>
          <w:sz w:val="36"/>
          <w:szCs w:val="36"/>
        </w:rPr>
      </w:pPr>
      <w:r w:rsidRPr="00D6482C">
        <w:rPr>
          <w:rFonts w:asciiTheme="majorHAnsi" w:hAnsiTheme="majorHAnsi" w:cstheme="minorHAnsi"/>
          <w:b/>
          <w:sz w:val="36"/>
          <w:szCs w:val="36"/>
        </w:rPr>
        <w:t>Délai de transmission des documents administratifs pour la rentrée scolaire 2016-2017</w:t>
      </w:r>
    </w:p>
    <w:p w:rsidR="00192366" w:rsidRPr="00D6482C" w:rsidRDefault="00192366" w:rsidP="00192366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92366" w:rsidRPr="00D6482C" w:rsidRDefault="00192366" w:rsidP="00192366">
      <w:pPr>
        <w:jc w:val="both"/>
        <w:rPr>
          <w:rFonts w:asciiTheme="majorHAnsi" w:hAnsiTheme="majorHAnsi" w:cstheme="minorHAnsi"/>
          <w:sz w:val="24"/>
          <w:szCs w:val="24"/>
        </w:rPr>
      </w:pPr>
      <w:r w:rsidRPr="00D6482C">
        <w:rPr>
          <w:rFonts w:asciiTheme="majorHAnsi" w:hAnsiTheme="majorHAnsi" w:cstheme="minorHAnsi"/>
          <w:sz w:val="24"/>
          <w:szCs w:val="24"/>
        </w:rPr>
        <w:t xml:space="preserve">La réforme des titres et fonctions présentant un important changement au niveau des pratiques administratives des établissements scolaires concernés, </w:t>
      </w:r>
      <w:r w:rsidR="00D6482C" w:rsidRPr="00D6482C">
        <w:rPr>
          <w:rFonts w:asciiTheme="majorHAnsi" w:hAnsiTheme="majorHAnsi" w:cstheme="minorHAnsi"/>
          <w:sz w:val="24"/>
          <w:szCs w:val="24"/>
        </w:rPr>
        <w:t>nous avons jugé opportun</w:t>
      </w:r>
      <w:r w:rsidRPr="00D6482C">
        <w:rPr>
          <w:rFonts w:asciiTheme="majorHAnsi" w:hAnsiTheme="majorHAnsi" w:cstheme="minorHAnsi"/>
          <w:sz w:val="24"/>
          <w:szCs w:val="24"/>
        </w:rPr>
        <w:t xml:space="preserve"> d’introduire un certain nombre d’assouplissement</w:t>
      </w:r>
      <w:r w:rsidR="004F4958" w:rsidRPr="00D6482C">
        <w:rPr>
          <w:rFonts w:asciiTheme="majorHAnsi" w:hAnsiTheme="majorHAnsi" w:cstheme="minorHAnsi"/>
          <w:sz w:val="24"/>
          <w:szCs w:val="24"/>
        </w:rPr>
        <w:t>s</w:t>
      </w:r>
      <w:r w:rsidRPr="00D6482C">
        <w:rPr>
          <w:rFonts w:asciiTheme="majorHAnsi" w:hAnsiTheme="majorHAnsi" w:cstheme="minorHAnsi"/>
          <w:sz w:val="24"/>
          <w:szCs w:val="24"/>
        </w:rPr>
        <w:t xml:space="preserve"> </w:t>
      </w:r>
      <w:r w:rsidR="000B6DC1" w:rsidRPr="00D6482C">
        <w:rPr>
          <w:rFonts w:asciiTheme="majorHAnsi" w:hAnsiTheme="majorHAnsi" w:cstheme="minorHAnsi"/>
          <w:sz w:val="24"/>
          <w:szCs w:val="24"/>
        </w:rPr>
        <w:t>au niveau des délais</w:t>
      </w:r>
      <w:r w:rsidR="00D6482C" w:rsidRPr="00D6482C">
        <w:rPr>
          <w:rFonts w:asciiTheme="majorHAnsi" w:hAnsiTheme="majorHAnsi" w:cstheme="minorHAnsi"/>
          <w:sz w:val="24"/>
          <w:szCs w:val="24"/>
        </w:rPr>
        <w:t xml:space="preserve">, </w:t>
      </w:r>
      <w:r w:rsidR="00D6482C" w:rsidRPr="00D6482C">
        <w:rPr>
          <w:rFonts w:asciiTheme="majorHAnsi" w:hAnsiTheme="majorHAnsi" w:cstheme="minorHAnsi"/>
          <w:sz w:val="24"/>
          <w:szCs w:val="24"/>
          <w:u w:val="single"/>
        </w:rPr>
        <w:t>à titre exceptionnel pour la rentrée 2016-2017</w:t>
      </w:r>
      <w:r w:rsidR="00D6482C" w:rsidRPr="00D6482C">
        <w:rPr>
          <w:rFonts w:asciiTheme="majorHAnsi" w:hAnsiTheme="majorHAnsi" w:cstheme="minorHAnsi"/>
          <w:sz w:val="24"/>
          <w:szCs w:val="24"/>
        </w:rPr>
        <w:t>,</w:t>
      </w:r>
      <w:r w:rsidR="000B6DC1" w:rsidRPr="00D6482C">
        <w:rPr>
          <w:rFonts w:asciiTheme="majorHAnsi" w:hAnsiTheme="majorHAnsi" w:cstheme="minorHAnsi"/>
          <w:sz w:val="24"/>
          <w:szCs w:val="24"/>
        </w:rPr>
        <w:t xml:space="preserve"> </w:t>
      </w:r>
      <w:r w:rsidRPr="00D6482C">
        <w:rPr>
          <w:rFonts w:asciiTheme="majorHAnsi" w:hAnsiTheme="majorHAnsi" w:cstheme="minorHAnsi"/>
          <w:sz w:val="24"/>
          <w:szCs w:val="24"/>
        </w:rPr>
        <w:t>en ce qui concerne certaines formalités administratives nouvelles ou modifiées par la r</w:t>
      </w:r>
      <w:r w:rsidR="000B6DC1" w:rsidRPr="00D6482C">
        <w:rPr>
          <w:rFonts w:asciiTheme="majorHAnsi" w:hAnsiTheme="majorHAnsi" w:cstheme="minorHAnsi"/>
          <w:sz w:val="24"/>
          <w:szCs w:val="24"/>
        </w:rPr>
        <w:t>éforme des titres et fonctions</w:t>
      </w:r>
      <w:r w:rsidR="00A7637C" w:rsidRPr="00D6482C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192366" w:rsidRPr="00D6482C" w:rsidRDefault="00192366" w:rsidP="00192366">
      <w:pPr>
        <w:rPr>
          <w:rFonts w:asciiTheme="majorHAnsi" w:hAnsiTheme="majorHAnsi" w:cstheme="minorHAnsi"/>
          <w:b/>
          <w:sz w:val="24"/>
          <w:szCs w:val="24"/>
        </w:rPr>
      </w:pPr>
    </w:p>
    <w:p w:rsidR="002D3108" w:rsidRPr="00D6482C" w:rsidRDefault="002D3108" w:rsidP="00192366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6482C">
        <w:rPr>
          <w:rFonts w:asciiTheme="majorHAnsi" w:hAnsiTheme="majorHAnsi" w:cstheme="minorHAnsi"/>
          <w:sz w:val="24"/>
          <w:szCs w:val="24"/>
        </w:rPr>
        <w:t>Dépôt des « documents 12 »</w:t>
      </w:r>
    </w:p>
    <w:p w:rsidR="002D3108" w:rsidRPr="00D6482C" w:rsidRDefault="002D3108" w:rsidP="002D3108">
      <w:pPr>
        <w:spacing w:line="240" w:lineRule="auto"/>
        <w:ind w:left="720"/>
        <w:jc w:val="both"/>
        <w:rPr>
          <w:rFonts w:asciiTheme="majorHAnsi" w:hAnsiTheme="majorHAnsi" w:cstheme="minorHAnsi"/>
          <w:sz w:val="24"/>
          <w:szCs w:val="24"/>
        </w:rPr>
      </w:pPr>
    </w:p>
    <w:p w:rsidR="00192366" w:rsidRPr="00D6482C" w:rsidRDefault="001733AF" w:rsidP="002D3108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D6482C">
        <w:rPr>
          <w:rFonts w:asciiTheme="majorHAnsi" w:hAnsiTheme="majorHAnsi" w:cstheme="minorHAnsi"/>
          <w:sz w:val="24"/>
          <w:szCs w:val="24"/>
        </w:rPr>
        <w:t xml:space="preserve">Au niveau des « documents 12 », </w:t>
      </w:r>
      <w:r w:rsidR="00A7637C" w:rsidRPr="00D6482C">
        <w:rPr>
          <w:rFonts w:asciiTheme="majorHAnsi" w:hAnsiTheme="majorHAnsi" w:cstheme="minorHAnsi"/>
          <w:sz w:val="24"/>
          <w:szCs w:val="24"/>
        </w:rPr>
        <w:t>permettre</w:t>
      </w:r>
      <w:r w:rsidR="00CE7121" w:rsidRPr="00D6482C">
        <w:rPr>
          <w:rFonts w:asciiTheme="majorHAnsi" w:hAnsiTheme="majorHAnsi" w:cstheme="minorHAnsi"/>
          <w:sz w:val="24"/>
          <w:szCs w:val="24"/>
        </w:rPr>
        <w:t xml:space="preserve"> l’élargissement de la gestion des documents déposés</w:t>
      </w:r>
      <w:r w:rsidR="00A7637C" w:rsidRPr="00D6482C">
        <w:rPr>
          <w:rFonts w:asciiTheme="majorHAnsi" w:hAnsiTheme="majorHAnsi" w:cstheme="minorHAnsi"/>
          <w:sz w:val="24"/>
          <w:szCs w:val="24"/>
        </w:rPr>
        <w:t xml:space="preserve"> </w:t>
      </w:r>
      <w:r w:rsidR="00192366" w:rsidRPr="00D6482C">
        <w:rPr>
          <w:rFonts w:asciiTheme="majorHAnsi" w:hAnsiTheme="majorHAnsi" w:cstheme="minorHAnsi"/>
          <w:sz w:val="24"/>
          <w:szCs w:val="24"/>
          <w:lang w:val="fr-FR"/>
        </w:rPr>
        <w:t>jusqu’au 12 septembre</w:t>
      </w:r>
      <w:r w:rsidR="002D3108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(au-delà de la date initialement fixée du 9 septembre)</w:t>
      </w:r>
      <w:r w:rsidR="00192366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. </w:t>
      </w:r>
      <w:r w:rsidR="00192366" w:rsidRPr="00D6482C">
        <w:rPr>
          <w:rFonts w:asciiTheme="majorHAnsi" w:hAnsiTheme="majorHAnsi" w:cstheme="minorHAnsi"/>
          <w:sz w:val="24"/>
          <w:szCs w:val="24"/>
        </w:rPr>
        <w:t xml:space="preserve">Cela signifie donc que, avec un dépôt au plus tard </w:t>
      </w:r>
      <w:r w:rsidR="004F4958" w:rsidRPr="00D6482C">
        <w:rPr>
          <w:rFonts w:asciiTheme="majorHAnsi" w:hAnsiTheme="majorHAnsi" w:cstheme="minorHAnsi"/>
          <w:sz w:val="24"/>
          <w:szCs w:val="24"/>
        </w:rPr>
        <w:t xml:space="preserve">le 12 septembre, les agents de fixation et liquidation des traitements </w:t>
      </w:r>
      <w:r w:rsidR="00192366" w:rsidRPr="00D6482C">
        <w:rPr>
          <w:rFonts w:asciiTheme="majorHAnsi" w:hAnsiTheme="majorHAnsi" w:cstheme="minorHAnsi"/>
          <w:sz w:val="24"/>
          <w:szCs w:val="24"/>
        </w:rPr>
        <w:t>feront le maximum pour que le paiement ait lieu à chaque échéance de liquidation (1er octobre, 1</w:t>
      </w:r>
      <w:r w:rsidR="004F4958" w:rsidRPr="00D6482C">
        <w:rPr>
          <w:rFonts w:asciiTheme="majorHAnsi" w:hAnsiTheme="majorHAnsi" w:cstheme="minorHAnsi"/>
          <w:sz w:val="24"/>
          <w:szCs w:val="24"/>
        </w:rPr>
        <w:t>5 octobre, 1er novembre). Dans l</w:t>
      </w:r>
      <w:r w:rsidR="00192366" w:rsidRPr="00D6482C">
        <w:rPr>
          <w:rFonts w:asciiTheme="majorHAnsi" w:hAnsiTheme="majorHAnsi" w:cstheme="minorHAnsi"/>
          <w:sz w:val="24"/>
          <w:szCs w:val="24"/>
        </w:rPr>
        <w:t>e cas d’un paiement au-delà du 1</w:t>
      </w:r>
      <w:r w:rsidR="00192366" w:rsidRPr="00D6482C">
        <w:rPr>
          <w:rFonts w:asciiTheme="majorHAnsi" w:hAnsiTheme="majorHAnsi" w:cstheme="minorHAnsi"/>
          <w:sz w:val="24"/>
          <w:szCs w:val="24"/>
          <w:vertAlign w:val="superscript"/>
        </w:rPr>
        <w:t>er</w:t>
      </w:r>
      <w:r w:rsidR="00192366" w:rsidRPr="00D6482C">
        <w:rPr>
          <w:rFonts w:asciiTheme="majorHAnsi" w:hAnsiTheme="majorHAnsi" w:cstheme="minorHAnsi"/>
          <w:sz w:val="24"/>
          <w:szCs w:val="24"/>
        </w:rPr>
        <w:t xml:space="preserve"> octobre, l’enseignant pourra, s’il le souhaite, réclamer une avance à son Pouvoir organisateur</w:t>
      </w:r>
      <w:r w:rsidR="00CE7121" w:rsidRPr="00D6482C">
        <w:rPr>
          <w:rFonts w:asciiTheme="majorHAnsi" w:hAnsiTheme="majorHAnsi" w:cstheme="minorHAnsi"/>
          <w:sz w:val="24"/>
          <w:szCs w:val="24"/>
        </w:rPr>
        <w:t>, en tant qu’employeur, conformément au droit applicable usuellement en la matière</w:t>
      </w:r>
      <w:r w:rsidR="00192366" w:rsidRPr="00D6482C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2073E4" w:rsidRPr="00D6482C" w:rsidRDefault="002073E4" w:rsidP="00192366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6482C">
        <w:rPr>
          <w:rFonts w:asciiTheme="majorHAnsi" w:hAnsiTheme="majorHAnsi" w:cstheme="minorHAnsi"/>
          <w:sz w:val="24"/>
          <w:szCs w:val="24"/>
        </w:rPr>
        <w:t>PRIMOWEB : édition des PV de carence</w:t>
      </w:r>
    </w:p>
    <w:p w:rsidR="00D6482C" w:rsidRPr="00D6482C" w:rsidRDefault="00D6482C" w:rsidP="00D6482C">
      <w:pPr>
        <w:spacing w:after="0" w:line="240" w:lineRule="auto"/>
        <w:ind w:left="720"/>
        <w:jc w:val="both"/>
        <w:rPr>
          <w:rFonts w:asciiTheme="majorHAnsi" w:hAnsiTheme="majorHAnsi" w:cstheme="minorHAnsi"/>
          <w:sz w:val="24"/>
          <w:szCs w:val="24"/>
          <w:lang w:val="fr-FR"/>
        </w:rPr>
      </w:pPr>
    </w:p>
    <w:p w:rsidR="00192366" w:rsidRPr="00D6482C" w:rsidRDefault="00192366" w:rsidP="00D6482C">
      <w:pPr>
        <w:spacing w:after="0" w:line="240" w:lineRule="auto"/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En ce qui concerne les </w:t>
      </w:r>
      <w:r w:rsidR="004F4958" w:rsidRPr="00D6482C">
        <w:rPr>
          <w:rFonts w:asciiTheme="majorHAnsi" w:hAnsiTheme="majorHAnsi" w:cstheme="minorHAnsi"/>
          <w:sz w:val="24"/>
          <w:szCs w:val="24"/>
          <w:lang w:val="fr-FR"/>
        </w:rPr>
        <w:t>« 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>PV de carence</w:t>
      </w:r>
      <w:r w:rsidR="004F4958" w:rsidRPr="00D6482C">
        <w:rPr>
          <w:rFonts w:asciiTheme="majorHAnsi" w:hAnsiTheme="majorHAnsi" w:cstheme="minorHAnsi"/>
          <w:sz w:val="24"/>
          <w:szCs w:val="24"/>
          <w:lang w:val="fr-FR"/>
        </w:rPr>
        <w:t> »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, au vu des difficultés liées à </w:t>
      </w:r>
      <w:r w:rsidR="004F4958" w:rsidRPr="00D6482C">
        <w:rPr>
          <w:rFonts w:asciiTheme="majorHAnsi" w:hAnsiTheme="majorHAnsi" w:cstheme="minorHAnsi"/>
          <w:sz w:val="24"/>
          <w:szCs w:val="24"/>
          <w:lang w:val="fr-FR"/>
        </w:rPr>
        <w:t>l’application « </w:t>
      </w:r>
      <w:proofErr w:type="spellStart"/>
      <w:r w:rsidRPr="00D6482C">
        <w:rPr>
          <w:rFonts w:asciiTheme="majorHAnsi" w:hAnsiTheme="majorHAnsi" w:cstheme="minorHAnsi"/>
          <w:sz w:val="24"/>
          <w:szCs w:val="24"/>
          <w:lang w:val="fr-FR"/>
        </w:rPr>
        <w:t>Primoweb</w:t>
      </w:r>
      <w:proofErr w:type="spellEnd"/>
      <w:r w:rsidR="004F4958" w:rsidRPr="00D6482C">
        <w:rPr>
          <w:rFonts w:asciiTheme="majorHAnsi" w:hAnsiTheme="majorHAnsi" w:cstheme="minorHAnsi"/>
          <w:sz w:val="24"/>
          <w:szCs w:val="24"/>
          <w:lang w:val="fr-FR"/>
        </w:rPr>
        <w:t> »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qui génère des émissions tardives et donc, des écarts temporels entre engagement et émission du PV</w:t>
      </w:r>
      <w:r w:rsidR="002073E4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les modalités suivantes sont d’application pour la rentrée scolaire 2016-2017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>:</w:t>
      </w:r>
    </w:p>
    <w:p w:rsidR="00192366" w:rsidRPr="00D6482C" w:rsidRDefault="00192366" w:rsidP="00192366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6482C">
        <w:rPr>
          <w:rFonts w:asciiTheme="majorHAnsi" w:hAnsiTheme="majorHAnsi" w:cstheme="minorHAnsi"/>
          <w:sz w:val="24"/>
          <w:szCs w:val="24"/>
          <w:lang w:val="fr-FR"/>
        </w:rPr>
        <w:lastRenderedPageBreak/>
        <w:t xml:space="preserve">Pour les </w:t>
      </w:r>
      <w:r w:rsidR="004F4958" w:rsidRPr="00D6482C">
        <w:rPr>
          <w:rFonts w:asciiTheme="majorHAnsi" w:hAnsiTheme="majorHAnsi" w:cstheme="minorHAnsi"/>
          <w:sz w:val="24"/>
          <w:szCs w:val="24"/>
          <w:lang w:val="fr-FR"/>
        </w:rPr>
        <w:t>« 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>PV de carence</w:t>
      </w:r>
      <w:r w:rsidR="004F4958" w:rsidRPr="00D6482C">
        <w:rPr>
          <w:rFonts w:asciiTheme="majorHAnsi" w:hAnsiTheme="majorHAnsi" w:cstheme="minorHAnsi"/>
          <w:sz w:val="24"/>
          <w:szCs w:val="24"/>
          <w:lang w:val="fr-FR"/>
        </w:rPr>
        <w:t> »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</w:t>
      </w:r>
      <w:r w:rsidR="00B969AB">
        <w:rPr>
          <w:rFonts w:asciiTheme="majorHAnsi" w:hAnsiTheme="majorHAnsi" w:cstheme="minorHAnsi"/>
          <w:sz w:val="24"/>
          <w:szCs w:val="24"/>
          <w:lang w:val="fr-FR"/>
        </w:rPr>
        <w:t>produits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jusqu’au 15 septembre inclus, l’engagement de l’enseignant </w:t>
      </w:r>
      <w:r w:rsidR="00EA0BEE">
        <w:rPr>
          <w:rFonts w:asciiTheme="majorHAnsi" w:hAnsiTheme="majorHAnsi" w:cstheme="minorHAnsi"/>
          <w:sz w:val="24"/>
          <w:szCs w:val="24"/>
          <w:lang w:val="fr-FR"/>
        </w:rPr>
        <w:t>est</w:t>
      </w:r>
      <w:r w:rsidR="00EA0BEE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>pris en compte au 1</w:t>
      </w:r>
      <w:r w:rsidRPr="00D6482C">
        <w:rPr>
          <w:rFonts w:asciiTheme="majorHAnsi" w:hAnsiTheme="majorHAnsi" w:cstheme="minorHAnsi"/>
          <w:sz w:val="24"/>
          <w:szCs w:val="24"/>
          <w:vertAlign w:val="superscript"/>
          <w:lang w:val="fr-FR"/>
        </w:rPr>
        <w:t>er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septembre (ou à la date effective de son engagement si postérieur eu 1</w:t>
      </w:r>
      <w:r w:rsidRPr="00D6482C">
        <w:rPr>
          <w:rFonts w:asciiTheme="majorHAnsi" w:hAnsiTheme="majorHAnsi" w:cstheme="minorHAnsi"/>
          <w:sz w:val="24"/>
          <w:szCs w:val="24"/>
          <w:vertAlign w:val="superscript"/>
          <w:lang w:val="fr-FR"/>
        </w:rPr>
        <w:t>er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septembre)</w:t>
      </w:r>
    </w:p>
    <w:p w:rsidR="00CE7121" w:rsidRPr="00D6482C" w:rsidRDefault="00192366" w:rsidP="002D3108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Pour les </w:t>
      </w:r>
      <w:r w:rsidR="004F4958" w:rsidRPr="00D6482C">
        <w:rPr>
          <w:rFonts w:asciiTheme="majorHAnsi" w:hAnsiTheme="majorHAnsi" w:cstheme="minorHAnsi"/>
          <w:sz w:val="24"/>
          <w:szCs w:val="24"/>
          <w:lang w:val="fr-FR"/>
        </w:rPr>
        <w:t>« 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>PV de carence</w:t>
      </w:r>
      <w:r w:rsidR="004F4958" w:rsidRPr="00D6482C">
        <w:rPr>
          <w:rFonts w:asciiTheme="majorHAnsi" w:hAnsiTheme="majorHAnsi" w:cstheme="minorHAnsi"/>
          <w:sz w:val="24"/>
          <w:szCs w:val="24"/>
          <w:lang w:val="fr-FR"/>
        </w:rPr>
        <w:t> »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</w:t>
      </w:r>
      <w:r w:rsidR="00B969AB">
        <w:rPr>
          <w:rFonts w:asciiTheme="majorHAnsi" w:hAnsiTheme="majorHAnsi" w:cstheme="minorHAnsi"/>
          <w:sz w:val="24"/>
          <w:szCs w:val="24"/>
          <w:lang w:val="fr-FR"/>
        </w:rPr>
        <w:t>produits</w:t>
      </w:r>
      <w:r w:rsidR="00B969AB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</w:t>
      </w:r>
      <w:bookmarkStart w:id="0" w:name="_GoBack"/>
      <w:bookmarkEnd w:id="0"/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à partir du 16 septembre, l’engagement de l’enseignant </w:t>
      </w:r>
      <w:r w:rsidR="00EA0BEE">
        <w:rPr>
          <w:rFonts w:asciiTheme="majorHAnsi" w:hAnsiTheme="majorHAnsi" w:cstheme="minorHAnsi"/>
          <w:sz w:val="24"/>
          <w:szCs w:val="24"/>
          <w:lang w:val="fr-FR"/>
        </w:rPr>
        <w:t xml:space="preserve">est 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>pris en compte à partir de la date effective de son engagement (engagement intervenant donc au plus tôt à partir du 16 septembre).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br/>
      </w:r>
      <w:r w:rsidR="003D564F" w:rsidRPr="00D6482C">
        <w:rPr>
          <w:rFonts w:asciiTheme="majorHAnsi" w:hAnsiTheme="majorHAnsi" w:cstheme="minorHAnsi"/>
          <w:i/>
          <w:iCs/>
          <w:sz w:val="24"/>
          <w:szCs w:val="24"/>
          <w:lang w:val="fr-FR"/>
        </w:rPr>
        <w:t>Remarque : l’attention des Pouvoirs organisateurs</w:t>
      </w:r>
      <w:r w:rsidRPr="00D6482C">
        <w:rPr>
          <w:rFonts w:asciiTheme="majorHAnsi" w:hAnsiTheme="majorHAnsi" w:cstheme="minorHAnsi"/>
          <w:i/>
          <w:iCs/>
          <w:sz w:val="24"/>
          <w:szCs w:val="24"/>
          <w:lang w:val="fr-FR"/>
        </w:rPr>
        <w:t xml:space="preserve"> est attirée sur le fait que cette décision pragmatique pourrait potentiellement générer des sit</w:t>
      </w:r>
      <w:r w:rsidR="003D564F" w:rsidRPr="00D6482C">
        <w:rPr>
          <w:rFonts w:asciiTheme="majorHAnsi" w:hAnsiTheme="majorHAnsi" w:cstheme="minorHAnsi"/>
          <w:i/>
          <w:iCs/>
          <w:sz w:val="24"/>
          <w:szCs w:val="24"/>
          <w:lang w:val="fr-FR"/>
        </w:rPr>
        <w:t xml:space="preserve">uations de recours auprès </w:t>
      </w:r>
      <w:r w:rsidR="00A7637C" w:rsidRPr="00D6482C">
        <w:rPr>
          <w:rFonts w:asciiTheme="majorHAnsi" w:hAnsiTheme="majorHAnsi" w:cstheme="minorHAnsi"/>
          <w:i/>
          <w:iCs/>
          <w:sz w:val="24"/>
          <w:szCs w:val="24"/>
          <w:lang w:val="fr-FR"/>
        </w:rPr>
        <w:t>d’eux</w:t>
      </w:r>
      <w:r w:rsidR="002073E4" w:rsidRPr="00D6482C">
        <w:rPr>
          <w:rFonts w:asciiTheme="majorHAnsi" w:hAnsiTheme="majorHAnsi" w:cstheme="minorHAnsi"/>
          <w:i/>
          <w:iCs/>
          <w:sz w:val="24"/>
          <w:szCs w:val="24"/>
          <w:lang w:val="fr-FR"/>
        </w:rPr>
        <w:t>. Ils sont dans ce cadre invités à se montrer</w:t>
      </w:r>
      <w:r w:rsidR="002D3108" w:rsidRPr="00D6482C">
        <w:rPr>
          <w:rFonts w:asciiTheme="majorHAnsi" w:hAnsiTheme="majorHAnsi" w:cstheme="minorHAnsi"/>
          <w:i/>
          <w:iCs/>
          <w:sz w:val="24"/>
          <w:szCs w:val="24"/>
          <w:lang w:val="fr-FR"/>
        </w:rPr>
        <w:t xml:space="preserve"> particulièrement attentifs à l’exactitude des données renseignées a posteriori</w:t>
      </w:r>
    </w:p>
    <w:p w:rsidR="00D6482C" w:rsidRPr="00D6482C" w:rsidRDefault="00D6482C" w:rsidP="00D6482C">
      <w:pPr>
        <w:spacing w:after="0" w:line="240" w:lineRule="auto"/>
        <w:jc w:val="both"/>
        <w:rPr>
          <w:rFonts w:asciiTheme="majorHAnsi" w:hAnsiTheme="majorHAnsi" w:cstheme="minorHAnsi"/>
          <w:i/>
          <w:iCs/>
          <w:sz w:val="24"/>
          <w:szCs w:val="24"/>
          <w:lang w:val="fr-FR"/>
        </w:rPr>
      </w:pPr>
    </w:p>
    <w:p w:rsidR="00D6482C" w:rsidRPr="00D6482C" w:rsidRDefault="00D6482C" w:rsidP="00D6482C">
      <w:pPr>
        <w:spacing w:after="0" w:line="240" w:lineRule="auto"/>
        <w:ind w:left="709"/>
        <w:jc w:val="both"/>
        <w:rPr>
          <w:rFonts w:asciiTheme="majorHAnsi" w:hAnsiTheme="majorHAnsi" w:cstheme="minorHAnsi"/>
          <w:iCs/>
          <w:sz w:val="24"/>
          <w:szCs w:val="24"/>
        </w:rPr>
      </w:pPr>
      <w:r w:rsidRPr="00D6482C">
        <w:rPr>
          <w:rFonts w:asciiTheme="majorHAnsi" w:hAnsiTheme="majorHAnsi" w:cstheme="minorHAnsi"/>
          <w:iCs/>
          <w:sz w:val="24"/>
          <w:szCs w:val="24"/>
          <w:lang w:val="fr-FR"/>
        </w:rPr>
        <w:t>L’ETNIC travaille actuellement à la résolution de la problématique.</w:t>
      </w:r>
    </w:p>
    <w:p w:rsidR="004F4958" w:rsidRPr="00D6482C" w:rsidRDefault="004F4958" w:rsidP="004F4958">
      <w:pPr>
        <w:spacing w:after="0" w:line="240" w:lineRule="auto"/>
        <w:ind w:left="10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</w:p>
    <w:p w:rsidR="002073E4" w:rsidRPr="00D6482C" w:rsidRDefault="002073E4" w:rsidP="002073E4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D6482C">
        <w:rPr>
          <w:rFonts w:asciiTheme="majorHAnsi" w:hAnsiTheme="majorHAnsi" w:cstheme="minorHAnsi"/>
          <w:sz w:val="24"/>
          <w:szCs w:val="24"/>
          <w:lang w:val="fr-FR"/>
        </w:rPr>
        <w:t>Opérations de « Disponibilités et réaffectations » dans l’enseignement subventionné.</w:t>
      </w:r>
    </w:p>
    <w:p w:rsidR="00D6482C" w:rsidRDefault="00D6482C" w:rsidP="00D6482C">
      <w:pPr>
        <w:pStyle w:val="Paragraphedeliste"/>
        <w:ind w:left="720"/>
        <w:jc w:val="both"/>
        <w:rPr>
          <w:rFonts w:asciiTheme="majorHAnsi" w:hAnsiTheme="majorHAnsi" w:cstheme="minorHAnsi"/>
          <w:sz w:val="24"/>
          <w:szCs w:val="24"/>
          <w:lang w:val="fr-FR"/>
        </w:rPr>
      </w:pPr>
    </w:p>
    <w:p w:rsidR="00192366" w:rsidRPr="00D6482C" w:rsidRDefault="004F4958" w:rsidP="00D6482C">
      <w:pPr>
        <w:pStyle w:val="Paragraphedeliste"/>
        <w:ind w:left="720"/>
        <w:jc w:val="both"/>
        <w:rPr>
          <w:rFonts w:asciiTheme="majorHAnsi" w:hAnsiTheme="majorHAnsi" w:cstheme="minorHAnsi"/>
          <w:sz w:val="24"/>
          <w:szCs w:val="24"/>
          <w:lang w:val="fr-FR"/>
        </w:rPr>
      </w:pPr>
      <w:r w:rsidRPr="00D6482C">
        <w:rPr>
          <w:rFonts w:asciiTheme="majorHAnsi" w:hAnsiTheme="majorHAnsi" w:cstheme="minorHAnsi"/>
          <w:sz w:val="24"/>
          <w:szCs w:val="24"/>
          <w:lang w:val="fr-FR"/>
        </w:rPr>
        <w:t>Pour l’enseignement subventionné, l</w:t>
      </w:r>
      <w:r w:rsidR="00192366" w:rsidRPr="00D6482C">
        <w:rPr>
          <w:rFonts w:asciiTheme="majorHAnsi" w:hAnsiTheme="majorHAnsi" w:cstheme="minorHAnsi"/>
          <w:sz w:val="24"/>
          <w:szCs w:val="24"/>
          <w:lang w:val="fr-FR"/>
        </w:rPr>
        <w:t>a circulaire relative aux « Disponibilités et réaffectati</w:t>
      </w:r>
      <w:r w:rsidR="000B6DC1" w:rsidRPr="00D6482C">
        <w:rPr>
          <w:rFonts w:asciiTheme="majorHAnsi" w:hAnsiTheme="majorHAnsi" w:cstheme="minorHAnsi"/>
          <w:sz w:val="24"/>
          <w:szCs w:val="24"/>
          <w:lang w:val="fr-FR"/>
        </w:rPr>
        <w:t>on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>s</w:t>
      </w:r>
      <w:r w:rsidR="000B6DC1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 » </w:t>
      </w:r>
      <w:r w:rsidR="00EA0BEE">
        <w:rPr>
          <w:rFonts w:asciiTheme="majorHAnsi" w:hAnsiTheme="majorHAnsi" w:cstheme="minorHAnsi"/>
          <w:sz w:val="24"/>
          <w:szCs w:val="24"/>
          <w:lang w:val="fr-FR"/>
        </w:rPr>
        <w:t xml:space="preserve">étant </w:t>
      </w:r>
      <w:r w:rsidR="00A7637C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en </w:t>
      </w:r>
      <w:r w:rsidR="002D3108" w:rsidRPr="00D6482C">
        <w:rPr>
          <w:rFonts w:asciiTheme="majorHAnsi" w:hAnsiTheme="majorHAnsi" w:cstheme="minorHAnsi"/>
          <w:sz w:val="24"/>
          <w:szCs w:val="24"/>
          <w:lang w:val="fr-FR"/>
        </w:rPr>
        <w:t>cours</w:t>
      </w:r>
      <w:r w:rsidR="00A7637C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de finalisation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, </w:t>
      </w:r>
      <w:r w:rsidR="002073E4" w:rsidRPr="00D6482C">
        <w:rPr>
          <w:rFonts w:asciiTheme="majorHAnsi" w:hAnsiTheme="majorHAnsi" w:cstheme="minorHAnsi"/>
          <w:sz w:val="24"/>
          <w:szCs w:val="24"/>
          <w:lang w:val="fr-FR"/>
        </w:rPr>
        <w:t>le</w:t>
      </w:r>
      <w:r w:rsidR="00192366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délai</w:t>
      </w:r>
      <w:r w:rsidR="002073E4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habituel de transmission de déclaration des pertes d’heures et des emplois vacants (1ère semaine d’octobre)</w:t>
      </w:r>
      <w:r w:rsidR="00192366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</w:t>
      </w:r>
      <w:r w:rsidR="00EA0BEE">
        <w:rPr>
          <w:rFonts w:asciiTheme="majorHAnsi" w:hAnsiTheme="majorHAnsi" w:cstheme="minorHAnsi"/>
          <w:sz w:val="24"/>
          <w:szCs w:val="24"/>
          <w:lang w:val="fr-FR"/>
        </w:rPr>
        <w:t xml:space="preserve">est reporté </w:t>
      </w:r>
      <w:r w:rsidR="002073E4" w:rsidRPr="00D6482C">
        <w:rPr>
          <w:rFonts w:asciiTheme="majorHAnsi" w:hAnsiTheme="majorHAnsi" w:cstheme="minorHAnsi"/>
          <w:sz w:val="24"/>
          <w:szCs w:val="24"/>
          <w:lang w:val="fr-FR"/>
        </w:rPr>
        <w:t>à</w:t>
      </w:r>
      <w:r w:rsidR="00192366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la deuxième quinzaine d’octobre.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</w:t>
      </w:r>
      <w:r w:rsidR="00192366" w:rsidRPr="00D6482C">
        <w:rPr>
          <w:rFonts w:asciiTheme="majorHAnsi" w:hAnsiTheme="majorHAnsi" w:cstheme="minorHAnsi"/>
          <w:sz w:val="24"/>
          <w:szCs w:val="24"/>
          <w:lang w:val="fr-FR"/>
        </w:rPr>
        <w:t>E</w:t>
      </w:r>
      <w:r w:rsidR="002073E4" w:rsidRPr="00D6482C">
        <w:rPr>
          <w:rFonts w:asciiTheme="majorHAnsi" w:hAnsiTheme="majorHAnsi" w:cstheme="minorHAnsi"/>
          <w:sz w:val="24"/>
          <w:szCs w:val="24"/>
          <w:lang w:val="fr-FR"/>
        </w:rPr>
        <w:t>t e</w:t>
      </w:r>
      <w:r w:rsidR="00192366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n conséquence, </w:t>
      </w:r>
      <w:r w:rsidR="002073E4" w:rsidRPr="00D6482C">
        <w:rPr>
          <w:rFonts w:asciiTheme="majorHAnsi" w:hAnsiTheme="majorHAnsi" w:cstheme="minorHAnsi"/>
          <w:sz w:val="24"/>
          <w:szCs w:val="24"/>
          <w:lang w:val="fr-FR"/>
        </w:rPr>
        <w:t>le calendrier d</w:t>
      </w:r>
      <w:r w:rsidR="00192366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es opérations de réaffectations </w:t>
      </w:r>
      <w:r w:rsidR="002073E4" w:rsidRPr="00D6482C">
        <w:rPr>
          <w:rFonts w:asciiTheme="majorHAnsi" w:hAnsiTheme="majorHAnsi" w:cstheme="minorHAnsi"/>
          <w:sz w:val="24"/>
          <w:szCs w:val="24"/>
          <w:lang w:val="fr-FR"/>
        </w:rPr>
        <w:t>externes (ORCE, ORCES, Commissions zonales de gestion des emplois) </w:t>
      </w:r>
      <w:r w:rsidR="002C5051">
        <w:rPr>
          <w:rFonts w:asciiTheme="majorHAnsi" w:hAnsiTheme="majorHAnsi" w:cstheme="minorHAnsi"/>
          <w:sz w:val="24"/>
          <w:szCs w:val="24"/>
          <w:lang w:val="fr-FR"/>
        </w:rPr>
        <w:t xml:space="preserve">est reporté </w:t>
      </w:r>
      <w:r w:rsidR="00D6482C" w:rsidRPr="00D6482C">
        <w:rPr>
          <w:rFonts w:asciiTheme="majorHAnsi" w:hAnsiTheme="majorHAnsi" w:cstheme="minorHAnsi"/>
          <w:sz w:val="24"/>
          <w:szCs w:val="24"/>
          <w:lang w:val="fr-FR"/>
        </w:rPr>
        <w:t>au 15 novembre</w:t>
      </w:r>
      <w:r w:rsidR="00A7637C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à titre exceptionnel cette année</w:t>
      </w:r>
      <w:r w:rsidR="00192366"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. </w:t>
      </w:r>
    </w:p>
    <w:p w:rsidR="00D6482C" w:rsidRPr="00D6482C" w:rsidRDefault="00D6482C" w:rsidP="00D6482C">
      <w:pPr>
        <w:pStyle w:val="Paragraphedeliste"/>
        <w:rPr>
          <w:rFonts w:asciiTheme="majorHAnsi" w:hAnsiTheme="majorHAnsi" w:cstheme="minorHAnsi"/>
          <w:sz w:val="24"/>
          <w:szCs w:val="24"/>
          <w:lang w:val="fr-FR"/>
        </w:rPr>
      </w:pPr>
    </w:p>
    <w:p w:rsidR="00D6482C" w:rsidRPr="00D6482C" w:rsidRDefault="00D6482C" w:rsidP="00D6482C">
      <w:pPr>
        <w:pStyle w:val="Paragraphedeliste"/>
        <w:spacing w:line="240" w:lineRule="auto"/>
        <w:ind w:left="720"/>
        <w:jc w:val="both"/>
        <w:rPr>
          <w:rFonts w:asciiTheme="majorHAnsi" w:hAnsiTheme="majorHAnsi" w:cstheme="minorHAnsi"/>
          <w:sz w:val="24"/>
          <w:szCs w:val="24"/>
          <w:lang w:val="fr-FR"/>
        </w:rPr>
      </w:pPr>
    </w:p>
    <w:p w:rsidR="002073E4" w:rsidRPr="00D6482C" w:rsidRDefault="002073E4" w:rsidP="004F4958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  <w:lang w:val="fr-FR"/>
        </w:rPr>
      </w:pP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Rentrée des </w:t>
      </w:r>
      <w:r w:rsidR="00EA0BEE">
        <w:rPr>
          <w:rFonts w:asciiTheme="majorHAnsi" w:hAnsiTheme="majorHAnsi" w:cstheme="minorHAnsi"/>
          <w:sz w:val="24"/>
          <w:szCs w:val="24"/>
          <w:lang w:val="fr-FR"/>
        </w:rPr>
        <w:t>« 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>DOC</w:t>
      </w:r>
      <w:r w:rsidR="00EA0BEE">
        <w:rPr>
          <w:rFonts w:asciiTheme="majorHAnsi" w:hAnsiTheme="majorHAnsi" w:cstheme="minorHAnsi"/>
          <w:sz w:val="24"/>
          <w:szCs w:val="24"/>
          <w:lang w:val="fr-FR"/>
        </w:rPr>
        <w:t xml:space="preserve"> 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>2</w:t>
      </w:r>
      <w:r w:rsidR="00EA0BEE">
        <w:rPr>
          <w:rFonts w:asciiTheme="majorHAnsi" w:hAnsiTheme="majorHAnsi" w:cstheme="minorHAnsi"/>
          <w:sz w:val="24"/>
          <w:szCs w:val="24"/>
          <w:lang w:val="fr-FR"/>
        </w:rPr>
        <w:t> » (enseignement de plein exercice)</w:t>
      </w:r>
    </w:p>
    <w:p w:rsidR="002073E4" w:rsidRPr="00D6482C" w:rsidRDefault="002073E4" w:rsidP="002073E4">
      <w:pPr>
        <w:pStyle w:val="Paragraphedeliste"/>
        <w:rPr>
          <w:rFonts w:asciiTheme="majorHAnsi" w:hAnsiTheme="majorHAnsi" w:cstheme="minorHAnsi"/>
          <w:sz w:val="24"/>
          <w:szCs w:val="24"/>
          <w:lang w:val="fr-FR"/>
        </w:rPr>
      </w:pPr>
    </w:p>
    <w:p w:rsidR="002073E4" w:rsidRPr="00D6482C" w:rsidRDefault="002073E4" w:rsidP="002073E4">
      <w:pPr>
        <w:pStyle w:val="Paragraphedeliste"/>
        <w:ind w:left="720"/>
        <w:jc w:val="both"/>
        <w:rPr>
          <w:rFonts w:asciiTheme="majorHAnsi" w:hAnsiTheme="majorHAnsi" w:cstheme="minorHAnsi"/>
          <w:sz w:val="24"/>
          <w:szCs w:val="24"/>
          <w:lang w:val="fr-FR"/>
        </w:rPr>
      </w:pP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La date ultime de rentrée des « documents 2 » est fixée au </w:t>
      </w:r>
      <w:r w:rsidRPr="00D6482C">
        <w:rPr>
          <w:rFonts w:asciiTheme="majorHAnsi" w:hAnsiTheme="majorHAnsi" w:cstheme="minorHAnsi"/>
          <w:sz w:val="24"/>
          <w:szCs w:val="24"/>
          <w:u w:val="single"/>
          <w:lang w:val="fr-FR"/>
        </w:rPr>
        <w:t>30 novembre 2016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, à </w:t>
      </w:r>
      <w:r w:rsidRPr="00D6482C">
        <w:rPr>
          <w:rFonts w:asciiTheme="majorHAnsi" w:hAnsiTheme="majorHAnsi" w:cstheme="minorHAnsi"/>
          <w:b/>
          <w:bCs/>
          <w:sz w:val="24"/>
          <w:szCs w:val="24"/>
          <w:lang w:val="fr-FR"/>
        </w:rPr>
        <w:t>l’exception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des établissements en </w:t>
      </w:r>
      <w:r w:rsidRPr="00D6482C">
        <w:rPr>
          <w:rFonts w:asciiTheme="majorHAnsi" w:hAnsiTheme="majorHAnsi" w:cstheme="minorHAnsi"/>
          <w:b/>
          <w:bCs/>
          <w:sz w:val="24"/>
          <w:szCs w:val="24"/>
          <w:lang w:val="fr-FR"/>
        </w:rPr>
        <w:t>situation de recomptage au 1</w:t>
      </w:r>
      <w:r w:rsidRPr="00D6482C">
        <w:rPr>
          <w:rFonts w:asciiTheme="majorHAnsi" w:hAnsiTheme="majorHAnsi" w:cstheme="minorHAnsi"/>
          <w:b/>
          <w:bCs/>
          <w:sz w:val="24"/>
          <w:szCs w:val="24"/>
          <w:vertAlign w:val="superscript"/>
          <w:lang w:val="fr-FR"/>
        </w:rPr>
        <w:t>er</w:t>
      </w:r>
      <w:r w:rsidRPr="00D6482C">
        <w:rPr>
          <w:rFonts w:asciiTheme="majorHAnsi" w:hAnsiTheme="majorHAnsi" w:cstheme="minorHAnsi"/>
          <w:b/>
          <w:bCs/>
          <w:sz w:val="24"/>
          <w:szCs w:val="24"/>
          <w:lang w:val="fr-FR"/>
        </w:rPr>
        <w:t xml:space="preserve"> octobre 2016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pour lesquels la date de rentrée des documents 2 sera fixée au </w:t>
      </w:r>
      <w:r w:rsidRPr="00D6482C">
        <w:rPr>
          <w:rFonts w:asciiTheme="majorHAnsi" w:hAnsiTheme="majorHAnsi" w:cstheme="minorHAnsi"/>
          <w:sz w:val="24"/>
          <w:szCs w:val="24"/>
          <w:u w:val="single"/>
          <w:lang w:val="fr-FR"/>
        </w:rPr>
        <w:t>23 décembre 2016</w:t>
      </w:r>
      <w:r w:rsidRPr="00D6482C">
        <w:rPr>
          <w:rFonts w:asciiTheme="majorHAnsi" w:hAnsiTheme="majorHAnsi" w:cstheme="minorHAnsi"/>
          <w:sz w:val="24"/>
          <w:szCs w:val="24"/>
          <w:lang w:val="fr-FR"/>
        </w:rPr>
        <w:t xml:space="preserve"> </w:t>
      </w:r>
    </w:p>
    <w:p w:rsidR="002073E4" w:rsidRPr="00D6482C" w:rsidRDefault="002073E4" w:rsidP="002073E4">
      <w:pPr>
        <w:spacing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  <w:lang w:val="fr-FR"/>
        </w:rPr>
      </w:pPr>
    </w:p>
    <w:p w:rsidR="002073E4" w:rsidRPr="00D6482C" w:rsidRDefault="002073E4" w:rsidP="002073E4">
      <w:pPr>
        <w:pStyle w:val="Paragraphedeliste"/>
        <w:spacing w:line="240" w:lineRule="auto"/>
        <w:ind w:left="720"/>
        <w:jc w:val="both"/>
        <w:rPr>
          <w:rFonts w:asciiTheme="majorHAnsi" w:hAnsiTheme="majorHAnsi" w:cstheme="minorHAnsi"/>
          <w:b/>
          <w:sz w:val="24"/>
          <w:szCs w:val="24"/>
          <w:lang w:val="fr-FR"/>
        </w:rPr>
      </w:pPr>
    </w:p>
    <w:p w:rsidR="002073E4" w:rsidRPr="00D6482C" w:rsidRDefault="002073E4" w:rsidP="002073E4">
      <w:pPr>
        <w:pStyle w:val="Paragraphedeliste"/>
        <w:rPr>
          <w:rFonts w:asciiTheme="majorHAnsi" w:hAnsiTheme="majorHAnsi" w:cstheme="minorHAnsi"/>
          <w:sz w:val="24"/>
          <w:szCs w:val="24"/>
          <w:lang w:val="fr-FR"/>
        </w:rPr>
      </w:pPr>
    </w:p>
    <w:p w:rsidR="00C463D9" w:rsidRPr="00D6482C" w:rsidRDefault="00C463D9" w:rsidP="001938EC">
      <w:pPr>
        <w:pStyle w:val="Paragraphedeliste"/>
        <w:ind w:left="900"/>
        <w:rPr>
          <w:rFonts w:asciiTheme="majorHAnsi" w:hAnsiTheme="majorHAnsi" w:cstheme="minorHAnsi"/>
          <w:b/>
          <w:sz w:val="24"/>
          <w:szCs w:val="24"/>
          <w:lang w:val="fr-FR"/>
        </w:rPr>
      </w:pPr>
    </w:p>
    <w:p w:rsidR="00AE18FB" w:rsidRPr="00D6482C" w:rsidRDefault="00AE18FB" w:rsidP="00AE18FB">
      <w:pPr>
        <w:rPr>
          <w:rFonts w:asciiTheme="majorHAnsi" w:hAnsiTheme="maj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6482C" w:rsidRPr="00D6482C" w:rsidTr="008756DD">
        <w:tc>
          <w:tcPr>
            <w:tcW w:w="4606" w:type="dxa"/>
          </w:tcPr>
          <w:p w:rsidR="00D6482C" w:rsidRPr="00D6482C" w:rsidRDefault="00D6482C" w:rsidP="00D6482C">
            <w:pPr>
              <w:ind w:left="-180"/>
              <w:jc w:val="right"/>
              <w:rPr>
                <w:rFonts w:asciiTheme="majorHAnsi" w:eastAsia="Times New Roman" w:hAnsiTheme="majorHAnsi" w:cstheme="minorHAnsi"/>
                <w:sz w:val="24"/>
                <w:szCs w:val="24"/>
                <w:lang w:val="fr-FR" w:eastAsia="en-US"/>
              </w:rPr>
            </w:pPr>
            <w:r w:rsidRPr="00D6482C">
              <w:rPr>
                <w:rFonts w:asciiTheme="majorHAnsi" w:eastAsia="Times New Roman" w:hAnsiTheme="majorHAnsi" w:cstheme="minorHAnsi"/>
                <w:sz w:val="24"/>
                <w:szCs w:val="24"/>
                <w:lang w:val="fr-FR" w:eastAsia="en-US"/>
              </w:rPr>
              <w:t>Marie-Martine SCHYNS</w:t>
            </w:r>
          </w:p>
          <w:p w:rsidR="00D6482C" w:rsidRPr="00D6482C" w:rsidRDefault="00D6482C" w:rsidP="00D6482C">
            <w:pPr>
              <w:ind w:left="-180"/>
              <w:jc w:val="right"/>
              <w:rPr>
                <w:rFonts w:asciiTheme="majorHAnsi" w:eastAsia="Times New Roman" w:hAnsiTheme="majorHAnsi" w:cstheme="minorHAnsi"/>
                <w:sz w:val="24"/>
                <w:szCs w:val="24"/>
                <w:lang w:val="fr-FR" w:eastAsia="en-US"/>
              </w:rPr>
            </w:pPr>
            <w:r w:rsidRPr="00D6482C">
              <w:rPr>
                <w:rFonts w:asciiTheme="majorHAnsi" w:eastAsia="Times New Roman" w:hAnsiTheme="majorHAnsi" w:cstheme="minorHAnsi"/>
                <w:sz w:val="24"/>
                <w:szCs w:val="24"/>
                <w:lang w:val="fr-FR" w:eastAsia="en-US"/>
              </w:rPr>
              <w:t>Ministre de l’Education</w:t>
            </w:r>
          </w:p>
          <w:p w:rsidR="00D6482C" w:rsidRPr="00D6482C" w:rsidRDefault="00D6482C" w:rsidP="00C463D9">
            <w:pPr>
              <w:tabs>
                <w:tab w:val="left" w:pos="709"/>
              </w:tabs>
              <w:rPr>
                <w:rFonts w:asciiTheme="majorHAnsi" w:eastAsia="Times New Roman" w:hAnsiTheme="majorHAnsi" w:cstheme="minorHAnsi"/>
                <w:sz w:val="24"/>
                <w:szCs w:val="24"/>
                <w:lang w:val="fr-FR" w:eastAsia="fr-FR"/>
              </w:rPr>
            </w:pPr>
          </w:p>
        </w:tc>
        <w:tc>
          <w:tcPr>
            <w:tcW w:w="4606" w:type="dxa"/>
          </w:tcPr>
          <w:p w:rsidR="00D6482C" w:rsidRPr="00D6482C" w:rsidRDefault="00D6482C" w:rsidP="00C463D9">
            <w:pPr>
              <w:tabs>
                <w:tab w:val="left" w:pos="709"/>
              </w:tabs>
              <w:rPr>
                <w:rFonts w:asciiTheme="majorHAnsi" w:eastAsia="Times New Roman" w:hAnsiTheme="majorHAnsi" w:cstheme="minorHAnsi"/>
                <w:sz w:val="24"/>
                <w:szCs w:val="24"/>
                <w:lang w:val="fr-FR" w:eastAsia="fr-FR"/>
              </w:rPr>
            </w:pPr>
            <w:r w:rsidRPr="00D6482C">
              <w:rPr>
                <w:rFonts w:asciiTheme="majorHAnsi" w:eastAsia="Times New Roman" w:hAnsiTheme="majorHAnsi" w:cstheme="minorHAnsi"/>
                <w:sz w:val="24"/>
                <w:szCs w:val="24"/>
                <w:lang w:val="fr-FR" w:eastAsia="fr-FR"/>
              </w:rPr>
              <w:t>Isabelle SIMONIS</w:t>
            </w:r>
          </w:p>
          <w:p w:rsidR="00D6482C" w:rsidRPr="00D6482C" w:rsidRDefault="00D6482C" w:rsidP="00D6482C">
            <w:pPr>
              <w:tabs>
                <w:tab w:val="left" w:pos="709"/>
              </w:tabs>
              <w:rPr>
                <w:rFonts w:asciiTheme="majorHAnsi" w:eastAsia="Times New Roman" w:hAnsiTheme="majorHAnsi" w:cstheme="minorHAnsi"/>
                <w:sz w:val="24"/>
                <w:szCs w:val="24"/>
                <w:lang w:val="fr-FR" w:eastAsia="fr-FR"/>
              </w:rPr>
            </w:pPr>
            <w:r w:rsidRPr="00D6482C">
              <w:rPr>
                <w:rFonts w:asciiTheme="majorHAnsi" w:eastAsia="Times New Roman" w:hAnsiTheme="majorHAnsi" w:cstheme="minorHAnsi"/>
                <w:sz w:val="24"/>
                <w:szCs w:val="24"/>
                <w:lang w:val="fr-FR" w:eastAsia="fr-FR"/>
              </w:rPr>
              <w:t>Ministre de l’Enseignement de promotion sociale</w:t>
            </w:r>
          </w:p>
        </w:tc>
      </w:tr>
    </w:tbl>
    <w:p w:rsidR="00C463D9" w:rsidRPr="00D6482C" w:rsidRDefault="00C463D9" w:rsidP="00C463D9">
      <w:pPr>
        <w:tabs>
          <w:tab w:val="left" w:pos="709"/>
        </w:tabs>
        <w:spacing w:after="0" w:line="240" w:lineRule="auto"/>
        <w:ind w:left="709" w:hanging="709"/>
        <w:rPr>
          <w:rFonts w:asciiTheme="majorHAnsi" w:eastAsia="Times New Roman" w:hAnsiTheme="majorHAnsi" w:cstheme="minorHAnsi"/>
          <w:b/>
          <w:sz w:val="24"/>
          <w:szCs w:val="24"/>
          <w:lang w:val="fr-FR" w:eastAsia="fr-FR"/>
        </w:rPr>
      </w:pPr>
    </w:p>
    <w:p w:rsidR="008F1910" w:rsidRPr="00D6482C" w:rsidRDefault="008F1910" w:rsidP="00C463D9">
      <w:pPr>
        <w:spacing w:after="0"/>
        <w:ind w:left="-180"/>
        <w:jc w:val="right"/>
        <w:rPr>
          <w:rFonts w:asciiTheme="majorHAnsi" w:eastAsia="Times New Roman" w:hAnsiTheme="majorHAnsi" w:cstheme="minorHAnsi"/>
          <w:sz w:val="24"/>
          <w:szCs w:val="24"/>
          <w:lang w:val="fr-FR" w:eastAsia="en-US"/>
        </w:rPr>
      </w:pPr>
    </w:p>
    <w:p w:rsidR="00423F15" w:rsidRPr="00D6482C" w:rsidRDefault="00423F15" w:rsidP="00192366">
      <w:pPr>
        <w:rPr>
          <w:rFonts w:asciiTheme="majorHAnsi" w:hAnsiTheme="majorHAnsi" w:cstheme="minorHAnsi"/>
          <w:sz w:val="24"/>
          <w:szCs w:val="24"/>
          <w:lang w:val="fr-FR"/>
        </w:rPr>
      </w:pPr>
    </w:p>
    <w:sectPr w:rsidR="00423F15" w:rsidRPr="00D6482C" w:rsidSect="00F47D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72" w:rsidRDefault="00AF1F72" w:rsidP="0047522A">
      <w:pPr>
        <w:spacing w:after="0" w:line="240" w:lineRule="auto"/>
      </w:pPr>
      <w:r>
        <w:separator/>
      </w:r>
    </w:p>
  </w:endnote>
  <w:endnote w:type="continuationSeparator" w:id="0">
    <w:p w:rsidR="00AF1F72" w:rsidRDefault="00AF1F72" w:rsidP="0047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09991"/>
      <w:docPartObj>
        <w:docPartGallery w:val="Page Numbers (Bottom of Page)"/>
        <w:docPartUnique/>
      </w:docPartObj>
    </w:sdtPr>
    <w:sdtEndPr/>
    <w:sdtContent>
      <w:p w:rsidR="00EA0BEE" w:rsidRDefault="002352A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BEE" w:rsidRDefault="00EA0BEE" w:rsidP="006B657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72" w:rsidRDefault="00AF1F72" w:rsidP="0047522A">
      <w:pPr>
        <w:spacing w:after="0" w:line="240" w:lineRule="auto"/>
      </w:pPr>
      <w:r>
        <w:separator/>
      </w:r>
    </w:p>
  </w:footnote>
  <w:footnote w:type="continuationSeparator" w:id="0">
    <w:p w:rsidR="00AF1F72" w:rsidRDefault="00AF1F72" w:rsidP="0047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3C8"/>
    <w:multiLevelType w:val="multilevel"/>
    <w:tmpl w:val="8B6A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C7A37"/>
    <w:multiLevelType w:val="hybridMultilevel"/>
    <w:tmpl w:val="D51629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44412"/>
    <w:multiLevelType w:val="hybridMultilevel"/>
    <w:tmpl w:val="6A468E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92B04"/>
    <w:multiLevelType w:val="multilevel"/>
    <w:tmpl w:val="38CEB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AF75123"/>
    <w:multiLevelType w:val="hybridMultilevel"/>
    <w:tmpl w:val="E992330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3A0C"/>
    <w:multiLevelType w:val="hybridMultilevel"/>
    <w:tmpl w:val="C45230A4"/>
    <w:lvl w:ilvl="0" w:tplc="3A44AF5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3523E"/>
    <w:multiLevelType w:val="multilevel"/>
    <w:tmpl w:val="F6DE3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A6C6656"/>
    <w:multiLevelType w:val="hybridMultilevel"/>
    <w:tmpl w:val="9ACE514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4352B"/>
    <w:multiLevelType w:val="multilevel"/>
    <w:tmpl w:val="E710125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33604FB"/>
    <w:multiLevelType w:val="hybridMultilevel"/>
    <w:tmpl w:val="04C437AA"/>
    <w:lvl w:ilvl="0" w:tplc="68D8B0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F7453"/>
    <w:multiLevelType w:val="hybridMultilevel"/>
    <w:tmpl w:val="CB7621E4"/>
    <w:lvl w:ilvl="0" w:tplc="57387A0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72260D1"/>
    <w:multiLevelType w:val="hybridMultilevel"/>
    <w:tmpl w:val="66320874"/>
    <w:lvl w:ilvl="0" w:tplc="4E4C4CE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27DA9"/>
    <w:multiLevelType w:val="multilevel"/>
    <w:tmpl w:val="0ADAA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F5F65FD"/>
    <w:multiLevelType w:val="hybridMultilevel"/>
    <w:tmpl w:val="37588ED2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B7CF9"/>
    <w:multiLevelType w:val="hybridMultilevel"/>
    <w:tmpl w:val="BA2260CA"/>
    <w:lvl w:ilvl="0" w:tplc="7A3812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D3682"/>
    <w:multiLevelType w:val="multilevel"/>
    <w:tmpl w:val="AE1CF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231B06"/>
    <w:multiLevelType w:val="hybridMultilevel"/>
    <w:tmpl w:val="66706A72"/>
    <w:lvl w:ilvl="0" w:tplc="08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97F611B"/>
    <w:multiLevelType w:val="hybridMultilevel"/>
    <w:tmpl w:val="CE40E31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986239"/>
    <w:multiLevelType w:val="hybridMultilevel"/>
    <w:tmpl w:val="750601E6"/>
    <w:lvl w:ilvl="0" w:tplc="26C49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20A2"/>
    <w:multiLevelType w:val="hybridMultilevel"/>
    <w:tmpl w:val="6E9A91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2C93"/>
    <w:multiLevelType w:val="hybridMultilevel"/>
    <w:tmpl w:val="EC26FA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0148F"/>
    <w:multiLevelType w:val="hybridMultilevel"/>
    <w:tmpl w:val="B90A55B2"/>
    <w:lvl w:ilvl="0" w:tplc="8A22A99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14C12"/>
    <w:multiLevelType w:val="hybridMultilevel"/>
    <w:tmpl w:val="E0885334"/>
    <w:lvl w:ilvl="0" w:tplc="DB32C1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4"/>
  </w:num>
  <w:num w:numId="5">
    <w:abstractNumId w:val="19"/>
  </w:num>
  <w:num w:numId="6">
    <w:abstractNumId w:val="5"/>
  </w:num>
  <w:num w:numId="7">
    <w:abstractNumId w:val="20"/>
  </w:num>
  <w:num w:numId="8">
    <w:abstractNumId w:val="10"/>
  </w:num>
  <w:num w:numId="9">
    <w:abstractNumId w:val="2"/>
  </w:num>
  <w:num w:numId="10">
    <w:abstractNumId w:val="18"/>
  </w:num>
  <w:num w:numId="11">
    <w:abstractNumId w:val="3"/>
  </w:num>
  <w:num w:numId="12">
    <w:abstractNumId w:val="6"/>
  </w:num>
  <w:num w:numId="13">
    <w:abstractNumId w:val="0"/>
  </w:num>
  <w:num w:numId="14">
    <w:abstractNumId w:val="21"/>
  </w:num>
  <w:num w:numId="15">
    <w:abstractNumId w:val="11"/>
  </w:num>
  <w:num w:numId="16">
    <w:abstractNumId w:val="15"/>
  </w:num>
  <w:num w:numId="17">
    <w:abstractNumId w:val="22"/>
  </w:num>
  <w:num w:numId="18">
    <w:abstractNumId w:val="17"/>
  </w:num>
  <w:num w:numId="19">
    <w:abstractNumId w:val="9"/>
  </w:num>
  <w:num w:numId="20">
    <w:abstractNumId w:val="12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2A"/>
    <w:rsid w:val="00027E5C"/>
    <w:rsid w:val="000B5CEE"/>
    <w:rsid w:val="000B6DC1"/>
    <w:rsid w:val="001261A7"/>
    <w:rsid w:val="00141141"/>
    <w:rsid w:val="00146389"/>
    <w:rsid w:val="001634B4"/>
    <w:rsid w:val="00165F87"/>
    <w:rsid w:val="001733AF"/>
    <w:rsid w:val="00192366"/>
    <w:rsid w:val="001938EC"/>
    <w:rsid w:val="00193B19"/>
    <w:rsid w:val="001B57D9"/>
    <w:rsid w:val="001C0658"/>
    <w:rsid w:val="001C6523"/>
    <w:rsid w:val="001C6718"/>
    <w:rsid w:val="001F77D0"/>
    <w:rsid w:val="002073E4"/>
    <w:rsid w:val="00217743"/>
    <w:rsid w:val="002352A5"/>
    <w:rsid w:val="00295DB2"/>
    <w:rsid w:val="002C5051"/>
    <w:rsid w:val="002D3108"/>
    <w:rsid w:val="00300F11"/>
    <w:rsid w:val="003418CB"/>
    <w:rsid w:val="00375692"/>
    <w:rsid w:val="00391A26"/>
    <w:rsid w:val="003D51CD"/>
    <w:rsid w:val="003D564F"/>
    <w:rsid w:val="004071AE"/>
    <w:rsid w:val="00412206"/>
    <w:rsid w:val="00423F15"/>
    <w:rsid w:val="00443AEE"/>
    <w:rsid w:val="00452D7D"/>
    <w:rsid w:val="0046489D"/>
    <w:rsid w:val="0047522A"/>
    <w:rsid w:val="00492CBB"/>
    <w:rsid w:val="004E2DEB"/>
    <w:rsid w:val="004F4958"/>
    <w:rsid w:val="005077A4"/>
    <w:rsid w:val="0058667C"/>
    <w:rsid w:val="00592E23"/>
    <w:rsid w:val="005A7208"/>
    <w:rsid w:val="005B691C"/>
    <w:rsid w:val="005C5958"/>
    <w:rsid w:val="005D7E40"/>
    <w:rsid w:val="005E5F08"/>
    <w:rsid w:val="00604C7A"/>
    <w:rsid w:val="00620A14"/>
    <w:rsid w:val="00631215"/>
    <w:rsid w:val="00662263"/>
    <w:rsid w:val="006B657E"/>
    <w:rsid w:val="006E792E"/>
    <w:rsid w:val="0072286B"/>
    <w:rsid w:val="00732397"/>
    <w:rsid w:val="00743773"/>
    <w:rsid w:val="00745C5D"/>
    <w:rsid w:val="00762D46"/>
    <w:rsid w:val="00791F25"/>
    <w:rsid w:val="007A00C6"/>
    <w:rsid w:val="007F3240"/>
    <w:rsid w:val="00811213"/>
    <w:rsid w:val="00813AFF"/>
    <w:rsid w:val="008150F2"/>
    <w:rsid w:val="008223E9"/>
    <w:rsid w:val="00834A1D"/>
    <w:rsid w:val="008756DD"/>
    <w:rsid w:val="00895357"/>
    <w:rsid w:val="008F1910"/>
    <w:rsid w:val="00913FAB"/>
    <w:rsid w:val="009853A7"/>
    <w:rsid w:val="0099706C"/>
    <w:rsid w:val="009E4385"/>
    <w:rsid w:val="00A51CE3"/>
    <w:rsid w:val="00A661F9"/>
    <w:rsid w:val="00A7637C"/>
    <w:rsid w:val="00AC3F89"/>
    <w:rsid w:val="00AE18FB"/>
    <w:rsid w:val="00AE355E"/>
    <w:rsid w:val="00AE3E07"/>
    <w:rsid w:val="00AF1F72"/>
    <w:rsid w:val="00B10C14"/>
    <w:rsid w:val="00B119DE"/>
    <w:rsid w:val="00B32064"/>
    <w:rsid w:val="00B41752"/>
    <w:rsid w:val="00B5112A"/>
    <w:rsid w:val="00B77B1D"/>
    <w:rsid w:val="00B942E2"/>
    <w:rsid w:val="00B969AB"/>
    <w:rsid w:val="00BB25A1"/>
    <w:rsid w:val="00BB5B6E"/>
    <w:rsid w:val="00BC6E22"/>
    <w:rsid w:val="00BE4904"/>
    <w:rsid w:val="00C463D9"/>
    <w:rsid w:val="00C60408"/>
    <w:rsid w:val="00CE7121"/>
    <w:rsid w:val="00D31A0E"/>
    <w:rsid w:val="00D6482C"/>
    <w:rsid w:val="00DD6B73"/>
    <w:rsid w:val="00DF7727"/>
    <w:rsid w:val="00E12E69"/>
    <w:rsid w:val="00E20601"/>
    <w:rsid w:val="00E74141"/>
    <w:rsid w:val="00E742AE"/>
    <w:rsid w:val="00E87D61"/>
    <w:rsid w:val="00EA0BEE"/>
    <w:rsid w:val="00EA3ED7"/>
    <w:rsid w:val="00EA7BA5"/>
    <w:rsid w:val="00EA7D0F"/>
    <w:rsid w:val="00F04AAE"/>
    <w:rsid w:val="00F1461C"/>
    <w:rsid w:val="00F42C92"/>
    <w:rsid w:val="00F45BDE"/>
    <w:rsid w:val="00F47D54"/>
    <w:rsid w:val="00F500C4"/>
    <w:rsid w:val="00F72A85"/>
    <w:rsid w:val="00F95A8D"/>
    <w:rsid w:val="00FC2D0A"/>
    <w:rsid w:val="00FD7C2F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3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3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47522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522A"/>
    <w:rPr>
      <w:rFonts w:ascii="Verdana" w:eastAsia="Times New Roman" w:hAnsi="Verdana"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rsid w:val="0047522A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47522A"/>
    <w:pPr>
      <w:spacing w:after="0"/>
      <w:ind w:left="708"/>
    </w:pPr>
    <w:rPr>
      <w:rFonts w:ascii="Verdana" w:eastAsia="Times New Roman" w:hAnsi="Verdana" w:cs="Times New Roman"/>
      <w:sz w:val="20"/>
      <w:lang w:eastAsia="en-US"/>
    </w:rPr>
  </w:style>
  <w:style w:type="character" w:styleId="Lienhypertexte">
    <w:name w:val="Hyperlink"/>
    <w:basedOn w:val="Policepardfaut"/>
    <w:uiPriority w:val="99"/>
    <w:rsid w:val="0047522A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A7BA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BA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13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813AFF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NormalWeb">
    <w:name w:val="Normal (Web)"/>
    <w:basedOn w:val="Normal"/>
    <w:uiPriority w:val="99"/>
    <w:unhideWhenUsed/>
    <w:rsid w:val="0081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81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idebloc">
    <w:name w:val="aide_bloc"/>
    <w:basedOn w:val="Policepardfaut"/>
    <w:rsid w:val="00813AFF"/>
  </w:style>
  <w:style w:type="paragraph" w:styleId="En-tte">
    <w:name w:val="header"/>
    <w:basedOn w:val="Normal"/>
    <w:link w:val="En-tteCar"/>
    <w:uiPriority w:val="99"/>
    <w:unhideWhenUsed/>
    <w:rsid w:val="005E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F08"/>
  </w:style>
  <w:style w:type="paragraph" w:styleId="Pieddepage">
    <w:name w:val="footer"/>
    <w:basedOn w:val="Normal"/>
    <w:link w:val="PieddepageCar"/>
    <w:uiPriority w:val="99"/>
    <w:unhideWhenUsed/>
    <w:rsid w:val="005E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F08"/>
  </w:style>
  <w:style w:type="table" w:styleId="Grilledutableau">
    <w:name w:val="Table Grid"/>
    <w:basedOn w:val="TableauNormal"/>
    <w:uiPriority w:val="59"/>
    <w:rsid w:val="00D6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3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3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47522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522A"/>
    <w:rPr>
      <w:rFonts w:ascii="Verdana" w:eastAsia="Times New Roman" w:hAnsi="Verdana"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rsid w:val="0047522A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47522A"/>
    <w:pPr>
      <w:spacing w:after="0"/>
      <w:ind w:left="708"/>
    </w:pPr>
    <w:rPr>
      <w:rFonts w:ascii="Verdana" w:eastAsia="Times New Roman" w:hAnsi="Verdana" w:cs="Times New Roman"/>
      <w:sz w:val="20"/>
      <w:lang w:eastAsia="en-US"/>
    </w:rPr>
  </w:style>
  <w:style w:type="character" w:styleId="Lienhypertexte">
    <w:name w:val="Hyperlink"/>
    <w:basedOn w:val="Policepardfaut"/>
    <w:uiPriority w:val="99"/>
    <w:rsid w:val="0047522A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A7BA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BA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13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813AFF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NormalWeb">
    <w:name w:val="Normal (Web)"/>
    <w:basedOn w:val="Normal"/>
    <w:uiPriority w:val="99"/>
    <w:unhideWhenUsed/>
    <w:rsid w:val="0081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81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idebloc">
    <w:name w:val="aide_bloc"/>
    <w:basedOn w:val="Policepardfaut"/>
    <w:rsid w:val="00813AFF"/>
  </w:style>
  <w:style w:type="paragraph" w:styleId="En-tte">
    <w:name w:val="header"/>
    <w:basedOn w:val="Normal"/>
    <w:link w:val="En-tteCar"/>
    <w:uiPriority w:val="99"/>
    <w:unhideWhenUsed/>
    <w:rsid w:val="005E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F08"/>
  </w:style>
  <w:style w:type="paragraph" w:styleId="Pieddepage">
    <w:name w:val="footer"/>
    <w:basedOn w:val="Normal"/>
    <w:link w:val="PieddepageCar"/>
    <w:uiPriority w:val="99"/>
    <w:unhideWhenUsed/>
    <w:rsid w:val="005E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F08"/>
  </w:style>
  <w:style w:type="table" w:styleId="Grilledutableau">
    <w:name w:val="Table Grid"/>
    <w:basedOn w:val="TableauNormal"/>
    <w:uiPriority w:val="59"/>
    <w:rsid w:val="00D6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4D6E5-3D1A-4E6C-BC62-47027AE3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WOESTY01</dc:creator>
  <cp:lastModifiedBy>QUOIDBACH Jean-Noël</cp:lastModifiedBy>
  <cp:revision>2</cp:revision>
  <cp:lastPrinted>2016-09-12T11:21:00Z</cp:lastPrinted>
  <dcterms:created xsi:type="dcterms:W3CDTF">2016-09-14T13:51:00Z</dcterms:created>
  <dcterms:modified xsi:type="dcterms:W3CDTF">2016-09-14T13:51:00Z</dcterms:modified>
</cp:coreProperties>
</file>